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983"/>
        <w:gridCol w:w="1227"/>
        <w:gridCol w:w="4683"/>
        <w:gridCol w:w="30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44"/>
                <w:szCs w:val="44"/>
              </w:rPr>
              <w:t>生活垃圾分类达标居住区标准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具体要求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标准分</w:t>
            </w:r>
          </w:p>
        </w:tc>
        <w:tc>
          <w:tcPr>
            <w:tcW w:w="4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扣分细则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评价方式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有设施设备（30分）</w:t>
            </w: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小区内设装修垃圾、大件垃圾临时堆放点。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无装修垃圾、大件垃圾临时堆放点，扣5分；</w:t>
            </w:r>
          </w:p>
        </w:tc>
        <w:tc>
          <w:tcPr>
            <w:tcW w:w="30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现场检查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小区内设两网融合回收服务点。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无两网融合回收服务点扣5分；交投点不符合相关导则要求酌情扣分。</w:t>
            </w:r>
          </w:p>
        </w:tc>
        <w:tc>
          <w:tcPr>
            <w:tcW w:w="30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每个投放点设置“干、湿”分类投放容器，至少有一个投放点设置有害垃圾投放容器。各类容器配置颜色、标识符合相关标准。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发现一处收集点未配置干湿两类收集容器，不能实现干湿垃圾分类投放扣2分；无有害垃圾投放容器扣5分；发现一处容器、标识等不符合规范要求扣1分；</w:t>
            </w:r>
          </w:p>
        </w:tc>
        <w:tc>
          <w:tcPr>
            <w:tcW w:w="30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设置绿色账户定时定点投放点，并有明确告知投放点位置、时间等信息。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无绿色账户定时定点投放点扣5分；投放点告知不清晰、管理不规范酌情扣分。</w:t>
            </w:r>
          </w:p>
        </w:tc>
        <w:tc>
          <w:tcPr>
            <w:tcW w:w="30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小区内配备干、湿垃圾分类驳运车辆或有分类驳运方式。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无分类驳运车辆或分类驳运方式扣5分；</w:t>
            </w:r>
          </w:p>
        </w:tc>
        <w:tc>
          <w:tcPr>
            <w:tcW w:w="30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有宣传告知（20分）</w:t>
            </w: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小区宣传氛围良好，有明显垃圾分类类别、投放要求、分类容器设置、分类收运去向等说明。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垃圾箱房、定时定点投放点、公共区域无分类宣传及告知内容扣10分；宣传内容少、不清晰，酌情扣5-10分；居民知晓率低于95%，每降低5的百分点扣2分。</w:t>
            </w:r>
          </w:p>
        </w:tc>
        <w:tc>
          <w:tcPr>
            <w:tcW w:w="30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现场检查及工作台账检查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年内至少开展一次入户宣传。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年内未开展入户上门宣传，扣10分。</w:t>
            </w:r>
          </w:p>
        </w:tc>
        <w:tc>
          <w:tcPr>
            <w:tcW w:w="30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具体要求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标准分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扣分细则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评价方式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有统计台账（5分）</w:t>
            </w:r>
          </w:p>
        </w:tc>
        <w:tc>
          <w:tcPr>
            <w:tcW w:w="3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小区内各类垃圾有统计数据台账，数据真实可信。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无台账扣10分，台账数据不真实、不完整酌情扣分。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现场检查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有分类实效（30分）</w:t>
            </w: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投放点湿垃圾、干垃圾、可回收物、有害垃圾分类投放容器中纯净度超过85%，即肉眼观察无明显其他类别垃圾混入。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小区每个投放点综合评估，发现一个低于85%，按照低于85%的投放点比例、垃圾混合情况，酌情扣5-10分。</w:t>
            </w:r>
          </w:p>
        </w:tc>
        <w:tc>
          <w:tcPr>
            <w:tcW w:w="30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现场检查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垃圾分类与绿色账户定时定点扫描服务规范。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未实行定时定点垃圾分类或绿色积分服务的，扣15分，扫描员服务不规范酌情扣分。</w:t>
            </w:r>
          </w:p>
        </w:tc>
        <w:tc>
          <w:tcPr>
            <w:tcW w:w="30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备注：达到85分以上，则为“达标居住区”。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181"/>
    <w:rsid w:val="00066329"/>
    <w:rsid w:val="001E7AE1"/>
    <w:rsid w:val="005323DF"/>
    <w:rsid w:val="005C1E30"/>
    <w:rsid w:val="00B25E3A"/>
    <w:rsid w:val="00BF0984"/>
    <w:rsid w:val="00D629BA"/>
    <w:rsid w:val="00E87840"/>
    <w:rsid w:val="00F31181"/>
    <w:rsid w:val="00F97220"/>
    <w:rsid w:val="23AA0B42"/>
    <w:rsid w:val="54AD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145</Words>
  <Characters>828</Characters>
  <Lines>6</Lines>
  <Paragraphs>1</Paragraphs>
  <TotalTime>2</TotalTime>
  <ScaleCrop>false</ScaleCrop>
  <LinksUpToDate>false</LinksUpToDate>
  <CharactersWithSpaces>972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2019-05-08T07:52:00Z</dcterms:created>
  <dc:creator>LENOVO</dc:creator>
  <cp:lastModifiedBy>lenovo</cp:lastModifiedBy>
  <dcterms:modified xsi:type="dcterms:W3CDTF">2019-05-14T08:46:23Z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